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44" w:rsidRDefault="005A3944" w:rsidP="005A3944">
      <w:pPr>
        <w:spacing w:line="276" w:lineRule="auto"/>
        <w:contextualSpacing/>
        <w:jc w:val="center"/>
        <w:rPr>
          <w:b/>
          <w:noProof/>
          <w:sz w:val="26"/>
          <w:szCs w:val="26"/>
        </w:rPr>
      </w:pPr>
      <w:r w:rsidRPr="005A3944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7BC302A" wp14:editId="0990A31D">
            <wp:simplePos x="0" y="0"/>
            <wp:positionH relativeFrom="column">
              <wp:posOffset>2922269</wp:posOffset>
            </wp:positionH>
            <wp:positionV relativeFrom="paragraph">
              <wp:posOffset>-110490</wp:posOffset>
            </wp:positionV>
            <wp:extent cx="472751" cy="723900"/>
            <wp:effectExtent l="0" t="0" r="3810" b="0"/>
            <wp:wrapNone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br w:type="textWrapping" w:clear="all"/>
      </w:r>
    </w:p>
    <w:p w:rsidR="005A3944" w:rsidRDefault="005A3944" w:rsidP="005A3944">
      <w:pPr>
        <w:spacing w:line="276" w:lineRule="auto"/>
        <w:contextualSpacing/>
        <w:jc w:val="center"/>
        <w:rPr>
          <w:b/>
          <w:noProof/>
          <w:sz w:val="26"/>
          <w:szCs w:val="26"/>
        </w:rPr>
      </w:pPr>
    </w:p>
    <w:p w:rsidR="005A3944" w:rsidRPr="005A3944" w:rsidRDefault="005A3944" w:rsidP="005A3944">
      <w:pPr>
        <w:spacing w:line="276" w:lineRule="auto"/>
        <w:contextualSpacing/>
        <w:jc w:val="center"/>
        <w:rPr>
          <w:b/>
          <w:noProof/>
          <w:sz w:val="26"/>
          <w:szCs w:val="26"/>
        </w:rPr>
      </w:pPr>
      <w:r w:rsidRPr="005A3944">
        <w:rPr>
          <w:b/>
          <w:noProof/>
          <w:sz w:val="26"/>
          <w:szCs w:val="26"/>
        </w:rPr>
        <w:t>Дума Сладковского сельского поселения</w:t>
      </w:r>
    </w:p>
    <w:p w:rsidR="005A3944" w:rsidRPr="005A3944" w:rsidRDefault="005A3944" w:rsidP="005A3944">
      <w:pPr>
        <w:spacing w:line="276" w:lineRule="auto"/>
        <w:contextualSpacing/>
        <w:jc w:val="center"/>
        <w:rPr>
          <w:sz w:val="26"/>
          <w:szCs w:val="26"/>
        </w:rPr>
      </w:pPr>
      <w:r w:rsidRPr="005A3944">
        <w:rPr>
          <w:b/>
          <w:noProof/>
          <w:sz w:val="26"/>
          <w:szCs w:val="26"/>
        </w:rPr>
        <w:t>Слободо – Туринского муниципального района Свердловской области</w:t>
      </w:r>
    </w:p>
    <w:p w:rsidR="005A3944" w:rsidRPr="005A3944" w:rsidRDefault="005A3944" w:rsidP="005A3944">
      <w:pPr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2276"/>
        <w:gridCol w:w="6259"/>
        <w:gridCol w:w="1602"/>
      </w:tblGrid>
      <w:tr w:rsidR="005A3944" w:rsidRPr="005A3944" w:rsidTr="00B621E5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A3944" w:rsidRPr="005A3944" w:rsidRDefault="00E4561E" w:rsidP="005A3944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A3944" w:rsidRPr="005A3944">
              <w:rPr>
                <w:sz w:val="26"/>
                <w:szCs w:val="26"/>
              </w:rPr>
              <w:t>.0</w:t>
            </w:r>
            <w:r w:rsidR="005A3944">
              <w:rPr>
                <w:sz w:val="26"/>
                <w:szCs w:val="26"/>
              </w:rPr>
              <w:t>5</w:t>
            </w:r>
            <w:r w:rsidR="005A3944" w:rsidRPr="005A3944">
              <w:rPr>
                <w:sz w:val="26"/>
                <w:szCs w:val="26"/>
              </w:rPr>
              <w:t>.</w:t>
            </w:r>
            <w:r w:rsidR="005A3944">
              <w:rPr>
                <w:sz w:val="26"/>
                <w:szCs w:val="26"/>
              </w:rPr>
              <w:t>2019</w:t>
            </w:r>
            <w:r w:rsidR="005A3944" w:rsidRPr="005A39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3944" w:rsidRPr="005A3944" w:rsidRDefault="005A3944" w:rsidP="005A3944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5A3944" w:rsidRPr="005A3944" w:rsidRDefault="005A3944" w:rsidP="00E4561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A3944">
              <w:rPr>
                <w:sz w:val="26"/>
                <w:szCs w:val="26"/>
              </w:rPr>
              <w:t xml:space="preserve">№ </w:t>
            </w:r>
            <w:r w:rsidR="00E4561E">
              <w:rPr>
                <w:sz w:val="26"/>
                <w:szCs w:val="26"/>
              </w:rPr>
              <w:t>150</w:t>
            </w:r>
          </w:p>
        </w:tc>
      </w:tr>
      <w:tr w:rsidR="005A3944" w:rsidRPr="005A3944" w:rsidTr="00B621E5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944" w:rsidRPr="005A3944" w:rsidRDefault="005A3944" w:rsidP="005A3944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A3944">
              <w:rPr>
                <w:sz w:val="26"/>
                <w:szCs w:val="26"/>
              </w:rPr>
              <w:t>с. Сладковское</w:t>
            </w:r>
          </w:p>
        </w:tc>
      </w:tr>
    </w:tbl>
    <w:p w:rsidR="005A3944" w:rsidRPr="005A3944" w:rsidRDefault="005A3944" w:rsidP="005A3944">
      <w:pPr>
        <w:pStyle w:val="20"/>
        <w:shd w:val="clear" w:color="auto" w:fill="auto"/>
        <w:spacing w:before="0" w:after="0" w:line="276" w:lineRule="auto"/>
        <w:ind w:right="20"/>
        <w:contextualSpacing/>
        <w:rPr>
          <w:rStyle w:val="2"/>
          <w:b/>
          <w:i/>
          <w:iCs/>
          <w:color w:val="000000"/>
          <w:sz w:val="26"/>
          <w:szCs w:val="26"/>
        </w:rPr>
      </w:pPr>
    </w:p>
    <w:p w:rsidR="005A3944" w:rsidRPr="005A3944" w:rsidRDefault="005A3944" w:rsidP="005A3944">
      <w:pPr>
        <w:tabs>
          <w:tab w:val="left" w:pos="225"/>
        </w:tabs>
        <w:spacing w:line="276" w:lineRule="auto"/>
        <w:jc w:val="center"/>
        <w:rPr>
          <w:b/>
          <w:sz w:val="26"/>
          <w:szCs w:val="26"/>
        </w:rPr>
      </w:pPr>
    </w:p>
    <w:p w:rsidR="005C1366" w:rsidRPr="005A3944" w:rsidRDefault="005A3944" w:rsidP="005A3944">
      <w:pPr>
        <w:spacing w:line="276" w:lineRule="auto"/>
        <w:jc w:val="center"/>
        <w:rPr>
          <w:b/>
          <w:sz w:val="26"/>
          <w:szCs w:val="26"/>
        </w:rPr>
      </w:pPr>
      <w:r w:rsidRPr="005A3944">
        <w:rPr>
          <w:b/>
          <w:sz w:val="26"/>
          <w:szCs w:val="26"/>
        </w:rPr>
        <w:t>О ежегодном отчете Главы Сладковского сельского поселения о своей деятельности, деятельности администрации и иных, подведомственных Главе Сладковского сельского поселения органов местного самоуправления, в том числе о решении вопросов, поставленных Думой Сладковского сельского поселения</w:t>
      </w:r>
    </w:p>
    <w:p w:rsidR="005A3944" w:rsidRPr="005A3944" w:rsidRDefault="005A3944" w:rsidP="005A3944">
      <w:pPr>
        <w:spacing w:line="276" w:lineRule="auto"/>
        <w:jc w:val="center"/>
        <w:rPr>
          <w:b/>
          <w:sz w:val="26"/>
          <w:szCs w:val="26"/>
        </w:rPr>
      </w:pPr>
    </w:p>
    <w:p w:rsidR="005A3944" w:rsidRPr="005A3944" w:rsidRDefault="005A3944" w:rsidP="005A3944">
      <w:pPr>
        <w:spacing w:line="276" w:lineRule="auto"/>
        <w:jc w:val="center"/>
        <w:rPr>
          <w:b/>
          <w:sz w:val="26"/>
          <w:szCs w:val="26"/>
        </w:rPr>
      </w:pP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В соответствии с пунктом 5.1 статьи 36 Федерального закона от 06.10.2003 № 131-ФЗ «Об общих принципах организации местного самоуправления в Российской Федерации», пунктом 13.1 статьи 26 Устава Сладковского сельского поселения, «Положением о порядке подготовки и рассмотрения Думой Сладковского сельского поселения ежегодного отчета главы Сладковского сельского поселения о его деятельности, деятельности администрации и иных, подведомственных главе Сладковского сельского поселения органов местного самоуправления, в том числе о решении вопросов, поставленных Думой Сладковского сельского поселения», утвержденным решением Думы от 29.03.2011 № 141, заслушав отчет главы Сладковского сельского поселения Л.П. Фефеловой, Дума Сладковского сельского поселения отмечает следующее: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За отчетный период 2018 года в бюджет Сладковского сельского поселения поступило 44 196,9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 xml:space="preserve">. (план выполнен на 98,1%), в том числе налоговых и неналоговых доходов в сумме 3 432,2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>., выполнение составило 104,1%.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Администрацией поселения предоставляется 37 видов муниципальных услуг. По итогам 2018 года специалистами администрации оказано населению 6237 муниципальных услуг.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В сфере градостроительной деятельности и земельных отношений в 2018 году введено жилья 72 </w:t>
      </w:r>
      <w:proofErr w:type="spellStart"/>
      <w:r w:rsidRPr="005A3944">
        <w:rPr>
          <w:sz w:val="26"/>
          <w:szCs w:val="26"/>
        </w:rPr>
        <w:t>кв.м</w:t>
      </w:r>
      <w:proofErr w:type="spellEnd"/>
      <w:r w:rsidRPr="005A3944">
        <w:rPr>
          <w:sz w:val="26"/>
          <w:szCs w:val="26"/>
        </w:rPr>
        <w:t xml:space="preserve">, выдано 43 разрешения на строительство. Завершены работы по установлению границ населенного пункта </w:t>
      </w:r>
      <w:proofErr w:type="spellStart"/>
      <w:r w:rsidRPr="005A3944">
        <w:rPr>
          <w:sz w:val="26"/>
          <w:szCs w:val="26"/>
        </w:rPr>
        <w:t>с.Сладковское</w:t>
      </w:r>
      <w:proofErr w:type="spellEnd"/>
      <w:r w:rsidRPr="005A3944">
        <w:rPr>
          <w:sz w:val="26"/>
          <w:szCs w:val="26"/>
        </w:rPr>
        <w:t xml:space="preserve">, проведены кадастровые работы по образованию двух земельных участков под размещение модульных ФАП в </w:t>
      </w:r>
      <w:proofErr w:type="spellStart"/>
      <w:r w:rsidRPr="005A3944">
        <w:rPr>
          <w:sz w:val="26"/>
          <w:szCs w:val="26"/>
        </w:rPr>
        <w:t>д.Макуй</w:t>
      </w:r>
      <w:proofErr w:type="spellEnd"/>
      <w:r w:rsidRPr="005A3944">
        <w:rPr>
          <w:sz w:val="26"/>
          <w:szCs w:val="26"/>
        </w:rPr>
        <w:t xml:space="preserve"> и в </w:t>
      </w:r>
      <w:proofErr w:type="spellStart"/>
      <w:r w:rsidRPr="005A3944">
        <w:rPr>
          <w:sz w:val="26"/>
          <w:szCs w:val="26"/>
        </w:rPr>
        <w:t>д.Андронова</w:t>
      </w:r>
      <w:proofErr w:type="spellEnd"/>
      <w:r w:rsidRPr="005A3944">
        <w:rPr>
          <w:sz w:val="26"/>
          <w:szCs w:val="26"/>
        </w:rPr>
        <w:t xml:space="preserve">. Передано в собственность КФХ по договорам купли-продажи три земельных участка из земель </w:t>
      </w:r>
      <w:proofErr w:type="spellStart"/>
      <w:r w:rsidRPr="005A3944">
        <w:rPr>
          <w:sz w:val="26"/>
          <w:szCs w:val="26"/>
        </w:rPr>
        <w:t>сельхозназначения</w:t>
      </w:r>
      <w:proofErr w:type="spellEnd"/>
      <w:r w:rsidRPr="005A3944">
        <w:rPr>
          <w:sz w:val="26"/>
          <w:szCs w:val="26"/>
        </w:rPr>
        <w:t xml:space="preserve"> общей площадью 382 га.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На территории поселения осуществляют деятельность 17 предприятий торговли, во всех населенных пунктах имеется торговое обслуживание.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lastRenderedPageBreak/>
        <w:t>В рамках исполнения полномочий по жилищно-коммунальному хозяйству, в поселении проведены мероприятия: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- капитальный ремонт муниципального жилфонда (д.6 по </w:t>
      </w:r>
      <w:proofErr w:type="spellStart"/>
      <w:r w:rsidRPr="005A3944">
        <w:rPr>
          <w:sz w:val="26"/>
          <w:szCs w:val="26"/>
        </w:rPr>
        <w:t>ул.Октябрьская</w:t>
      </w:r>
      <w:proofErr w:type="spellEnd"/>
      <w:r w:rsidRPr="005A3944">
        <w:rPr>
          <w:sz w:val="26"/>
          <w:szCs w:val="26"/>
        </w:rPr>
        <w:t xml:space="preserve"> в </w:t>
      </w:r>
      <w:proofErr w:type="spellStart"/>
      <w:r w:rsidRPr="005A3944">
        <w:rPr>
          <w:sz w:val="26"/>
          <w:szCs w:val="26"/>
        </w:rPr>
        <w:t>с.Сладковское</w:t>
      </w:r>
      <w:proofErr w:type="spellEnd"/>
      <w:r w:rsidRPr="005A3944">
        <w:rPr>
          <w:sz w:val="26"/>
          <w:szCs w:val="26"/>
        </w:rPr>
        <w:t>),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- ремонт распределительного колодца на тепловой сети в </w:t>
      </w:r>
      <w:proofErr w:type="spellStart"/>
      <w:r w:rsidRPr="005A3944">
        <w:rPr>
          <w:sz w:val="26"/>
          <w:szCs w:val="26"/>
        </w:rPr>
        <w:t>с.Сладковское</w:t>
      </w:r>
      <w:proofErr w:type="spellEnd"/>
      <w:r w:rsidRPr="005A3944">
        <w:rPr>
          <w:sz w:val="26"/>
          <w:szCs w:val="26"/>
        </w:rPr>
        <w:t>,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-проводится ежеквартальное сервисное обслуживание установки “</w:t>
      </w:r>
      <w:proofErr w:type="spellStart"/>
      <w:r w:rsidRPr="005A3944">
        <w:rPr>
          <w:sz w:val="26"/>
          <w:szCs w:val="26"/>
        </w:rPr>
        <w:t>Акварос</w:t>
      </w:r>
      <w:proofErr w:type="spellEnd"/>
      <w:r w:rsidRPr="005A3944">
        <w:rPr>
          <w:sz w:val="26"/>
          <w:szCs w:val="26"/>
        </w:rPr>
        <w:t>”, приобретены 10 мембранных фильтрующих элементов,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-исполнены обязательства по муниципальной гарантии за уголь. Расходы по разделу жилищно-коммунальное хозяйство составили 1225,7 </w:t>
      </w:r>
      <w:proofErr w:type="spellStart"/>
      <w:r w:rsidRPr="005A3944">
        <w:rPr>
          <w:sz w:val="26"/>
          <w:szCs w:val="26"/>
        </w:rPr>
        <w:t>тыс.рублей</w:t>
      </w:r>
      <w:proofErr w:type="spellEnd"/>
      <w:r w:rsidRPr="005A3944">
        <w:rPr>
          <w:sz w:val="26"/>
          <w:szCs w:val="26"/>
        </w:rPr>
        <w:t>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В 2018 году на денежные средства, выделенные на благоустройство, в поселении были проведены следующие мероприятия: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- приобретены автогрейдер и </w:t>
      </w:r>
      <w:proofErr w:type="spellStart"/>
      <w:r w:rsidRPr="005A3944">
        <w:rPr>
          <w:sz w:val="26"/>
          <w:szCs w:val="26"/>
        </w:rPr>
        <w:t>мотокоса</w:t>
      </w:r>
      <w:proofErr w:type="spellEnd"/>
      <w:r w:rsidRPr="005A3944">
        <w:rPr>
          <w:sz w:val="26"/>
          <w:szCs w:val="26"/>
        </w:rPr>
        <w:t>;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- проведены субботники по уборке территорий организаций и мест общественного пользования;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- построен общественный колодец в </w:t>
      </w:r>
      <w:proofErr w:type="spellStart"/>
      <w:r w:rsidRPr="005A3944">
        <w:rPr>
          <w:sz w:val="26"/>
          <w:szCs w:val="26"/>
        </w:rPr>
        <w:t>с.Куминовское</w:t>
      </w:r>
      <w:proofErr w:type="spellEnd"/>
      <w:r w:rsidRPr="005A3944">
        <w:rPr>
          <w:sz w:val="26"/>
          <w:szCs w:val="26"/>
        </w:rPr>
        <w:t>;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- постоянно проводилась работа по ликвидации несанкционированных свалок и уборке мусора по населенным пунктам, окашивание территорий и мест общего пользования;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- спилено два дерева (</w:t>
      </w:r>
      <w:proofErr w:type="spellStart"/>
      <w:r w:rsidRPr="005A3944">
        <w:rPr>
          <w:sz w:val="26"/>
          <w:szCs w:val="26"/>
        </w:rPr>
        <w:t>с.Пушкарево</w:t>
      </w:r>
      <w:proofErr w:type="spellEnd"/>
      <w:r w:rsidRPr="005A3944">
        <w:rPr>
          <w:sz w:val="26"/>
          <w:szCs w:val="26"/>
        </w:rPr>
        <w:t>), создающее угрозу для граждан;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-производились работы по ремонту и содержанию детских площадок;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В поселении проведен конкурс на “Лучшую усадьбу-2018”. Село Сладковское участвовало в районном, а затем в областном конкурсах на “Лучшую сельскую усадьбу, село, деревню”, по итогам последнего ему присуждено 1 место. В преддверии новогодних праздников провед</w:t>
      </w:r>
      <w:bookmarkStart w:id="0" w:name="_GoBack"/>
      <w:bookmarkEnd w:id="0"/>
      <w:r w:rsidRPr="005A3944">
        <w:rPr>
          <w:sz w:val="26"/>
          <w:szCs w:val="26"/>
        </w:rPr>
        <w:t xml:space="preserve">ен конкурс на “Лучшее новогоднее село-2018”, в котором участвовало 18 усадеб, 10 организаций, 2 МКД. Всего расходы на благоустройство составили 5836,7 </w:t>
      </w:r>
      <w:proofErr w:type="spellStart"/>
      <w:r w:rsidRPr="005A3944">
        <w:rPr>
          <w:sz w:val="26"/>
          <w:szCs w:val="26"/>
        </w:rPr>
        <w:t>тыс.рублей</w:t>
      </w:r>
      <w:proofErr w:type="spellEnd"/>
      <w:r w:rsidRPr="005A3944">
        <w:rPr>
          <w:sz w:val="26"/>
          <w:szCs w:val="26"/>
        </w:rPr>
        <w:t xml:space="preserve"> ( в том числе, на приобретение основных средств и уличное освещение 4947,4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>.).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В соответствии с планом мероприятий, расходы на дорожную деятельность в 2018 году составили 4210,7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>. и были направлены на выполнение следующих мероприятий: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- содержание автодорог местного значения - 988,8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>. (чистка дорог от снега, окашивание обочин, нанесение дорожной разметки, прокладка водопропускных труб, приобретение и установка дорожных знаков);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- ремонт автодорог местного значения - 3215,0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 xml:space="preserve">. (асфальтовое покрытие дороги </w:t>
      </w:r>
      <w:proofErr w:type="spellStart"/>
      <w:r w:rsidRPr="005A3944">
        <w:rPr>
          <w:sz w:val="26"/>
          <w:szCs w:val="26"/>
        </w:rPr>
        <w:t>ул.Ленина</w:t>
      </w:r>
      <w:proofErr w:type="spellEnd"/>
      <w:r w:rsidRPr="005A3944">
        <w:rPr>
          <w:sz w:val="26"/>
          <w:szCs w:val="26"/>
        </w:rPr>
        <w:t xml:space="preserve"> в </w:t>
      </w:r>
      <w:proofErr w:type="spellStart"/>
      <w:r w:rsidRPr="005A3944">
        <w:rPr>
          <w:sz w:val="26"/>
          <w:szCs w:val="26"/>
        </w:rPr>
        <w:t>с.Сладковское</w:t>
      </w:r>
      <w:proofErr w:type="spellEnd"/>
      <w:r w:rsidRPr="005A3944">
        <w:rPr>
          <w:sz w:val="26"/>
          <w:szCs w:val="26"/>
        </w:rPr>
        <w:t xml:space="preserve">, </w:t>
      </w:r>
      <w:proofErr w:type="spellStart"/>
      <w:r w:rsidRPr="005A3944">
        <w:rPr>
          <w:sz w:val="26"/>
          <w:szCs w:val="26"/>
        </w:rPr>
        <w:t>д.Андронова</w:t>
      </w:r>
      <w:proofErr w:type="spellEnd"/>
      <w:r w:rsidRPr="005A3944">
        <w:rPr>
          <w:sz w:val="26"/>
          <w:szCs w:val="26"/>
        </w:rPr>
        <w:t xml:space="preserve"> (</w:t>
      </w:r>
      <w:proofErr w:type="spellStart"/>
      <w:r w:rsidRPr="005A3944">
        <w:rPr>
          <w:sz w:val="26"/>
          <w:szCs w:val="26"/>
        </w:rPr>
        <w:t>ул.Центральная</w:t>
      </w:r>
      <w:proofErr w:type="spellEnd"/>
      <w:r w:rsidRPr="005A3944">
        <w:rPr>
          <w:sz w:val="26"/>
          <w:szCs w:val="26"/>
        </w:rPr>
        <w:t xml:space="preserve">), </w:t>
      </w:r>
      <w:proofErr w:type="spellStart"/>
      <w:r w:rsidRPr="005A3944">
        <w:rPr>
          <w:sz w:val="26"/>
          <w:szCs w:val="26"/>
        </w:rPr>
        <w:t>с.Куминовское</w:t>
      </w:r>
      <w:proofErr w:type="spellEnd"/>
      <w:r w:rsidRPr="005A3944">
        <w:rPr>
          <w:sz w:val="26"/>
          <w:szCs w:val="26"/>
        </w:rPr>
        <w:t xml:space="preserve"> (</w:t>
      </w:r>
      <w:proofErr w:type="spellStart"/>
      <w:r w:rsidRPr="005A3944">
        <w:rPr>
          <w:sz w:val="26"/>
          <w:szCs w:val="26"/>
        </w:rPr>
        <w:t>ул.Мира</w:t>
      </w:r>
      <w:proofErr w:type="spellEnd"/>
      <w:r w:rsidRPr="005A3944">
        <w:rPr>
          <w:sz w:val="26"/>
          <w:szCs w:val="26"/>
        </w:rPr>
        <w:t xml:space="preserve">, </w:t>
      </w:r>
      <w:proofErr w:type="spellStart"/>
      <w:r w:rsidRPr="005A3944">
        <w:rPr>
          <w:sz w:val="26"/>
          <w:szCs w:val="26"/>
        </w:rPr>
        <w:t>ул.Советская</w:t>
      </w:r>
      <w:proofErr w:type="spellEnd"/>
      <w:r w:rsidRPr="005A3944">
        <w:rPr>
          <w:sz w:val="26"/>
          <w:szCs w:val="26"/>
        </w:rPr>
        <w:t xml:space="preserve">), </w:t>
      </w:r>
      <w:proofErr w:type="spellStart"/>
      <w:r w:rsidRPr="005A3944">
        <w:rPr>
          <w:sz w:val="26"/>
          <w:szCs w:val="26"/>
        </w:rPr>
        <w:t>с.Сладковское</w:t>
      </w:r>
      <w:proofErr w:type="spellEnd"/>
      <w:r w:rsidRPr="005A3944">
        <w:rPr>
          <w:sz w:val="26"/>
          <w:szCs w:val="26"/>
        </w:rPr>
        <w:t xml:space="preserve"> (</w:t>
      </w:r>
      <w:proofErr w:type="spellStart"/>
      <w:r w:rsidRPr="005A3944">
        <w:rPr>
          <w:sz w:val="26"/>
          <w:szCs w:val="26"/>
        </w:rPr>
        <w:t>ул.Советская</w:t>
      </w:r>
      <w:proofErr w:type="spellEnd"/>
      <w:r w:rsidRPr="005A3944">
        <w:rPr>
          <w:sz w:val="26"/>
          <w:szCs w:val="26"/>
        </w:rPr>
        <w:t xml:space="preserve">), ямочный ремонт дороги по ул. Юбилейная в </w:t>
      </w:r>
      <w:proofErr w:type="spellStart"/>
      <w:r w:rsidRPr="005A3944">
        <w:rPr>
          <w:sz w:val="26"/>
          <w:szCs w:val="26"/>
        </w:rPr>
        <w:t>с.Сладковское</w:t>
      </w:r>
      <w:proofErr w:type="spellEnd"/>
      <w:r w:rsidRPr="005A3944">
        <w:rPr>
          <w:sz w:val="26"/>
          <w:szCs w:val="26"/>
        </w:rPr>
        <w:t xml:space="preserve"> . Проводилось </w:t>
      </w:r>
      <w:proofErr w:type="spellStart"/>
      <w:r w:rsidRPr="005A3944">
        <w:rPr>
          <w:sz w:val="26"/>
          <w:szCs w:val="26"/>
        </w:rPr>
        <w:t>грейдирование</w:t>
      </w:r>
      <w:proofErr w:type="spellEnd"/>
      <w:r w:rsidRPr="005A3944">
        <w:rPr>
          <w:sz w:val="26"/>
          <w:szCs w:val="26"/>
        </w:rPr>
        <w:t xml:space="preserve"> дорог во всех населенных пунктах поселения.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В целях организации транспортного обслуживания населения в период половодья 2018 года была организована работа паромной и лодочной переправ через реку Тура в </w:t>
      </w:r>
      <w:proofErr w:type="spellStart"/>
      <w:r w:rsidRPr="005A3944">
        <w:rPr>
          <w:sz w:val="26"/>
          <w:szCs w:val="26"/>
        </w:rPr>
        <w:t>с.Куминовское</w:t>
      </w:r>
      <w:proofErr w:type="spellEnd"/>
      <w:r w:rsidRPr="005A3944">
        <w:rPr>
          <w:sz w:val="26"/>
          <w:szCs w:val="26"/>
        </w:rPr>
        <w:t xml:space="preserve"> и </w:t>
      </w:r>
      <w:proofErr w:type="spellStart"/>
      <w:r w:rsidRPr="005A3944">
        <w:rPr>
          <w:sz w:val="26"/>
          <w:szCs w:val="26"/>
        </w:rPr>
        <w:t>д.Макуй</w:t>
      </w:r>
      <w:proofErr w:type="spellEnd"/>
      <w:r w:rsidRPr="005A3944">
        <w:rPr>
          <w:sz w:val="26"/>
          <w:szCs w:val="26"/>
        </w:rPr>
        <w:t xml:space="preserve">, израсходовано 1045,9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 xml:space="preserve">., в </w:t>
      </w:r>
      <w:proofErr w:type="spellStart"/>
      <w:r w:rsidRPr="005A3944">
        <w:rPr>
          <w:sz w:val="26"/>
          <w:szCs w:val="26"/>
        </w:rPr>
        <w:t>т.ч</w:t>
      </w:r>
      <w:proofErr w:type="spellEnd"/>
      <w:r w:rsidRPr="005A3944">
        <w:rPr>
          <w:sz w:val="26"/>
          <w:szCs w:val="26"/>
        </w:rPr>
        <w:t>. на приобретение моторной лодки в комплектации с дополнительным оборудованием.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В целях обеспечения первичных мер пожарной безопасности в 2018 году обустроен пожарный водоем и подъезд к нему в </w:t>
      </w:r>
      <w:proofErr w:type="spellStart"/>
      <w:r w:rsidRPr="005A3944">
        <w:rPr>
          <w:sz w:val="26"/>
          <w:szCs w:val="26"/>
        </w:rPr>
        <w:t>д.Томилова</w:t>
      </w:r>
      <w:proofErr w:type="spellEnd"/>
      <w:r w:rsidRPr="005A3944">
        <w:rPr>
          <w:sz w:val="26"/>
          <w:szCs w:val="26"/>
        </w:rPr>
        <w:t xml:space="preserve">, в течение зимнего периода проводилось содержание прорубей и искусственных водоемов. На эти и другие мероприятия по обеспечению первичных мер пожарной безопасности из бюджета поселения потрачено 445,8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>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Полномочия по организации досуга и библиотечного обслуживания населения  исполняет МБУК “Сладковский КДЦ”, в состав которого входят 7 ДК и 5 библиотек. Общая сумма финансирования учреждения 21351,1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 xml:space="preserve">., штатная численность 24 чел., средняя зарплата 33874 руб. За 2018 год проведено 2085 культурно-массовых мероприятий, из них мероприятий для детей 870, для молодежи 875, дискотек 655. Доход от платных услуг составил 253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 xml:space="preserve">. В учреждениях культуры работает 60 культурно-досуговых формирований. Компьютеризировано и подключено к сети Интернет 5 библиотек. В 2018 году успешно проведен капремонт Макуевского ДК, и приобретено для него оборудование. Завершено специальное освещение зрительного зала ДК в </w:t>
      </w:r>
      <w:proofErr w:type="spellStart"/>
      <w:r w:rsidRPr="005A3944">
        <w:rPr>
          <w:sz w:val="26"/>
          <w:szCs w:val="26"/>
        </w:rPr>
        <w:t>с.Сладковское</w:t>
      </w:r>
      <w:proofErr w:type="spellEnd"/>
      <w:r w:rsidRPr="005A3944">
        <w:rPr>
          <w:sz w:val="26"/>
          <w:szCs w:val="26"/>
        </w:rPr>
        <w:t xml:space="preserve">, ремонт отопления Куминовского ДК, реконструкция системы отопления Пушкаревского ДК (установлен </w:t>
      </w:r>
      <w:proofErr w:type="spellStart"/>
      <w:r w:rsidRPr="005A3944">
        <w:rPr>
          <w:sz w:val="26"/>
          <w:szCs w:val="26"/>
        </w:rPr>
        <w:t>электрокотел</w:t>
      </w:r>
      <w:proofErr w:type="spellEnd"/>
      <w:r w:rsidRPr="005A3944">
        <w:rPr>
          <w:sz w:val="26"/>
          <w:szCs w:val="26"/>
        </w:rPr>
        <w:t>), завершен ремонт туалетной комнаты Сладковского СК.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 xml:space="preserve">На территории поселения активно ведется работа по развитию физкультуры и спорта, расходы на эту деятельность составили 151,0 </w:t>
      </w:r>
      <w:proofErr w:type="spellStart"/>
      <w:r w:rsidRPr="005A3944">
        <w:rPr>
          <w:sz w:val="26"/>
          <w:szCs w:val="26"/>
        </w:rPr>
        <w:t>тыс.руб</w:t>
      </w:r>
      <w:proofErr w:type="spellEnd"/>
      <w:r w:rsidRPr="005A3944">
        <w:rPr>
          <w:sz w:val="26"/>
          <w:szCs w:val="26"/>
        </w:rPr>
        <w:t xml:space="preserve">. (проведены: лыжная гонка, посвященная памяти </w:t>
      </w:r>
      <w:proofErr w:type="spellStart"/>
      <w:r w:rsidRPr="005A3944">
        <w:rPr>
          <w:sz w:val="26"/>
          <w:szCs w:val="26"/>
        </w:rPr>
        <w:t>И.А.Кайгородова</w:t>
      </w:r>
      <w:proofErr w:type="spellEnd"/>
      <w:r w:rsidRPr="005A3944">
        <w:rPr>
          <w:sz w:val="26"/>
          <w:szCs w:val="26"/>
        </w:rPr>
        <w:t xml:space="preserve">, лыжня России, хоккей с шайбой, посвященный Дню защитника Отечества, и др. Спортсмены поселения, в </w:t>
      </w:r>
      <w:proofErr w:type="spellStart"/>
      <w:r w:rsidRPr="005A3944">
        <w:rPr>
          <w:sz w:val="26"/>
          <w:szCs w:val="26"/>
        </w:rPr>
        <w:t>т.ч</w:t>
      </w:r>
      <w:proofErr w:type="spellEnd"/>
      <w:r w:rsidRPr="005A3944">
        <w:rPr>
          <w:sz w:val="26"/>
          <w:szCs w:val="26"/>
        </w:rPr>
        <w:t>. команда администрации принимали активное участие в районных мероприятиях.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В 2018 году летним оздоровительным отдыхом охвачено более 100 детей и подростков, 20 детей были привлечены к работе в трудовом отряде, созданном при администрации поселения.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A3944">
        <w:rPr>
          <w:sz w:val="26"/>
          <w:szCs w:val="26"/>
        </w:rPr>
        <w:t xml:space="preserve">На основании вышеизложенного, Дума Сладковского сельского поселения </w:t>
      </w:r>
      <w:r w:rsidRPr="005A3944">
        <w:rPr>
          <w:b/>
          <w:sz w:val="26"/>
          <w:szCs w:val="26"/>
        </w:rPr>
        <w:t>РЕШИЛА: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1. Признать работу Главы Сладковского сельского поселения, администрации Сладковского сельского поселения удовлетворительной.</w:t>
      </w:r>
    </w:p>
    <w:p w:rsidR="005A3944" w:rsidRPr="005A3944" w:rsidRDefault="005A3944" w:rsidP="005A3944">
      <w:pPr>
        <w:spacing w:line="276" w:lineRule="auto"/>
        <w:ind w:firstLine="709"/>
        <w:jc w:val="both"/>
        <w:rPr>
          <w:sz w:val="26"/>
          <w:szCs w:val="26"/>
        </w:rPr>
      </w:pPr>
      <w:r w:rsidRPr="005A3944">
        <w:rPr>
          <w:sz w:val="26"/>
          <w:szCs w:val="26"/>
        </w:rPr>
        <w:t>2. Настоящее решение опубликовать в печатном средстве массовой информации Думы и Администрации Сладковского сельского поселения “Информационный вестник” и разместить на официальном сайте Сладковского сельского поселения  в информационно-телекоммуникационной сети Интернет.</w:t>
      </w:r>
    </w:p>
    <w:p w:rsidR="005A3944" w:rsidRPr="005A3944" w:rsidRDefault="005A3944" w:rsidP="005A3944">
      <w:pPr>
        <w:spacing w:line="276" w:lineRule="auto"/>
        <w:jc w:val="both"/>
        <w:rPr>
          <w:sz w:val="26"/>
          <w:szCs w:val="26"/>
        </w:rPr>
      </w:pPr>
    </w:p>
    <w:p w:rsidR="005A3944" w:rsidRPr="005A3944" w:rsidRDefault="005A3944" w:rsidP="005A3944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125"/>
        <w:gridCol w:w="2837"/>
        <w:gridCol w:w="2232"/>
      </w:tblGrid>
      <w:tr w:rsidR="005A3944" w:rsidRPr="005A3944" w:rsidTr="00B621E5">
        <w:tc>
          <w:tcPr>
            <w:tcW w:w="5068" w:type="dxa"/>
            <w:gridSpan w:val="2"/>
            <w:shd w:val="clear" w:color="auto" w:fill="auto"/>
          </w:tcPr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  <w:r w:rsidRPr="005A3944">
              <w:rPr>
                <w:bCs/>
                <w:color w:val="000000"/>
                <w:spacing w:val="5"/>
                <w:sz w:val="26"/>
                <w:szCs w:val="26"/>
              </w:rPr>
              <w:t xml:space="preserve">Председатель Думы </w:t>
            </w:r>
          </w:p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  <w:r w:rsidRPr="005A3944">
              <w:rPr>
                <w:bCs/>
                <w:color w:val="000000"/>
                <w:spacing w:val="5"/>
                <w:sz w:val="26"/>
                <w:szCs w:val="26"/>
              </w:rPr>
              <w:t>Сладковского сельского поселения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  <w:r w:rsidRPr="005A3944">
              <w:rPr>
                <w:bCs/>
                <w:color w:val="000000"/>
                <w:spacing w:val="5"/>
                <w:sz w:val="26"/>
                <w:szCs w:val="26"/>
              </w:rPr>
              <w:t xml:space="preserve">Глава </w:t>
            </w:r>
          </w:p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  <w:r w:rsidRPr="005A3944">
              <w:rPr>
                <w:bCs/>
                <w:color w:val="000000"/>
                <w:spacing w:val="5"/>
                <w:sz w:val="26"/>
                <w:szCs w:val="26"/>
              </w:rPr>
              <w:t>Сладковского сельского поселения</w:t>
            </w:r>
          </w:p>
        </w:tc>
      </w:tr>
      <w:tr w:rsidR="005A3944" w:rsidRPr="005A3944" w:rsidTr="00B621E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  <w:r w:rsidRPr="005A3944">
              <w:rPr>
                <w:bCs/>
                <w:color w:val="000000"/>
                <w:spacing w:val="5"/>
                <w:sz w:val="26"/>
                <w:szCs w:val="26"/>
              </w:rPr>
              <w:t>В.А. Потапова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5A3944" w:rsidRPr="005A3944" w:rsidRDefault="005A3944" w:rsidP="005A3944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pacing w:val="5"/>
                <w:sz w:val="26"/>
                <w:szCs w:val="26"/>
              </w:rPr>
            </w:pPr>
            <w:r w:rsidRPr="005A3944">
              <w:rPr>
                <w:bCs/>
                <w:color w:val="000000"/>
                <w:spacing w:val="5"/>
                <w:sz w:val="26"/>
                <w:szCs w:val="26"/>
              </w:rPr>
              <w:t>Л.П. Фефелова</w:t>
            </w:r>
          </w:p>
        </w:tc>
      </w:tr>
    </w:tbl>
    <w:p w:rsidR="005A3944" w:rsidRPr="005A3944" w:rsidRDefault="005A3944" w:rsidP="005A3944">
      <w:pPr>
        <w:spacing w:line="276" w:lineRule="auto"/>
        <w:jc w:val="both"/>
        <w:rPr>
          <w:sz w:val="26"/>
          <w:szCs w:val="26"/>
        </w:rPr>
      </w:pPr>
    </w:p>
    <w:sectPr w:rsidR="005A3944" w:rsidRPr="005A3944" w:rsidSect="005A3944"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44" w:rsidRDefault="005A3944" w:rsidP="005A3944">
      <w:r>
        <w:separator/>
      </w:r>
    </w:p>
  </w:endnote>
  <w:endnote w:type="continuationSeparator" w:id="0">
    <w:p w:rsidR="005A3944" w:rsidRDefault="005A3944" w:rsidP="005A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44" w:rsidRDefault="005A3944" w:rsidP="005A3944">
      <w:r>
        <w:separator/>
      </w:r>
    </w:p>
  </w:footnote>
  <w:footnote w:type="continuationSeparator" w:id="0">
    <w:p w:rsidR="005A3944" w:rsidRDefault="005A3944" w:rsidP="005A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4"/>
    <w:rsid w:val="005A3944"/>
    <w:rsid w:val="005C1366"/>
    <w:rsid w:val="00E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A3944"/>
    <w:rPr>
      <w:i/>
      <w:i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944"/>
    <w:pPr>
      <w:widowControl w:val="0"/>
      <w:shd w:val="clear" w:color="auto" w:fill="FFFFFF"/>
      <w:spacing w:before="360" w:after="360" w:line="202" w:lineRule="exact"/>
      <w:jc w:val="center"/>
    </w:pPr>
    <w:rPr>
      <w:rFonts w:asciiTheme="minorHAnsi" w:eastAsiaTheme="minorHAnsi" w:hAnsiTheme="minorHAnsi" w:cstheme="minorBidi"/>
      <w:i/>
      <w:iCs/>
      <w:spacing w:val="-2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A3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39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A3944"/>
    <w:rPr>
      <w:i/>
      <w:i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944"/>
    <w:pPr>
      <w:widowControl w:val="0"/>
      <w:shd w:val="clear" w:color="auto" w:fill="FFFFFF"/>
      <w:spacing w:before="360" w:after="360" w:line="202" w:lineRule="exact"/>
      <w:jc w:val="center"/>
    </w:pPr>
    <w:rPr>
      <w:rFonts w:asciiTheme="minorHAnsi" w:eastAsiaTheme="minorHAnsi" w:hAnsiTheme="minorHAnsi" w:cstheme="minorBidi"/>
      <w:i/>
      <w:iCs/>
      <w:spacing w:val="-2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A3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39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F3B2-2FE9-4261-94B9-8854F87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2019-05-30T06:46:00Z</cp:lastPrinted>
  <dcterms:created xsi:type="dcterms:W3CDTF">2019-05-30T06:34:00Z</dcterms:created>
  <dcterms:modified xsi:type="dcterms:W3CDTF">2019-06-06T14:02:00Z</dcterms:modified>
</cp:coreProperties>
</file>