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65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>
        <w:trPr>
          <w:cantSplit/>
          <w:trHeight w:val="90" w:hRule="atLeast"/>
        </w:trPr>
        <w:tc>
          <w:tcPr>
            <w:tcW w:w="9658" w:type="dxa"/>
            <w:vAlign w:val="top"/>
          </w:tcPr>
          <w:p>
            <w:pPr>
              <w:tabs>
                <w:tab w:val="center" w:pos="4428"/>
                <w:tab w:val="left" w:pos="8790"/>
              </w:tabs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lang w:val="zh-CN"/>
              </w:rPr>
              <w:drawing>
                <wp:inline distT="0" distB="0" distL="114300" distR="114300">
                  <wp:extent cx="531495" cy="805815"/>
                  <wp:effectExtent l="0" t="0" r="1905" b="1333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1547" t="-1021" r="-1547" b="-1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/>
                <w:b/>
                <w:bCs/>
                <w:lang w:eastAsia="en-US"/>
              </w:rPr>
              <w:t xml:space="preserve">                                                                     </w:t>
            </w:r>
            <w:r>
              <w:rPr>
                <w:rFonts w:ascii="Liberation Serif" w:hAnsi="Liberation Serif"/>
                <w:b/>
                <w:bCs/>
                <w:lang w:eastAsia="en-US"/>
              </w:rPr>
              <w:t xml:space="preserve">  </w:t>
            </w:r>
          </w:p>
        </w:tc>
      </w:tr>
      <w:tr>
        <w:trPr>
          <w:cantSplit/>
        </w:trPr>
        <w:tc>
          <w:tcPr>
            <w:tcW w:w="9658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>
            <w:pPr>
              <w:keepNext/>
              <w:jc w:val="center"/>
              <w:outlineLvl w:val="8"/>
              <w:rPr>
                <w:rFonts w:ascii="Liberation Serif" w:hAnsi="Liberation Serif"/>
                <w:b w:val="0"/>
                <w:bCs/>
                <w:i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iCs/>
                <w:lang w:eastAsia="en-US"/>
              </w:rPr>
              <w:t xml:space="preserve">Дума Сладковского сельского поселения </w:t>
            </w:r>
          </w:p>
          <w:p>
            <w:pPr>
              <w:jc w:val="center"/>
              <w:rPr>
                <w:rFonts w:ascii="Liberation Serif" w:hAnsi="Liberation Serif"/>
                <w:b w:val="0"/>
                <w:b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lang w:eastAsia="en-US"/>
              </w:rPr>
              <w:t>Слободо-Туринского муниципального района</w:t>
            </w:r>
          </w:p>
          <w:p>
            <w:pPr>
              <w:jc w:val="center"/>
              <w:rPr>
                <w:rFonts w:ascii="Liberation Serif" w:hAnsi="Liberation Serif"/>
                <w:b w:val="0"/>
                <w:b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lang w:eastAsia="en-US"/>
              </w:rPr>
              <w:t xml:space="preserve">Свердловской области  </w:t>
            </w:r>
          </w:p>
          <w:p>
            <w:pPr>
              <w:jc w:val="center"/>
              <w:rPr>
                <w:rFonts w:ascii="Liberation Serif" w:hAnsi="Liberation Serif"/>
                <w:b w:val="0"/>
                <w:b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lang w:eastAsia="en-US"/>
              </w:rPr>
              <w:t>пятого созыва</w:t>
            </w:r>
          </w:p>
          <w:p>
            <w:pPr>
              <w:keepNext/>
              <w:jc w:val="center"/>
              <w:outlineLvl w:val="2"/>
              <w:rPr>
                <w:rFonts w:ascii="Liberation Serif" w:hAnsi="Liberation Serif"/>
                <w:b/>
                <w:b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lang w:eastAsia="en-US"/>
              </w:rPr>
              <w:t>Р Е Ш Е Н И Е</w:t>
            </w:r>
          </w:p>
        </w:tc>
      </w:tr>
      <w:tr>
        <w:tc>
          <w:tcPr>
            <w:tcW w:w="9658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keepNext/>
              <w:spacing w:line="276" w:lineRule="auto"/>
              <w:outlineLvl w:val="1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u w:val="single"/>
                <w:lang w:eastAsia="en-US"/>
              </w:rPr>
              <w:t xml:space="preserve">от </w:t>
            </w:r>
            <w:r>
              <w:rPr>
                <w:rFonts w:ascii="Liberation Serif" w:hAnsi="Liberation Serif"/>
                <w:u w:val="single"/>
                <w:lang w:eastAsia="en-US"/>
              </w:rPr>
              <w:t>28</w:t>
            </w:r>
            <w:r>
              <w:rPr>
                <w:rFonts w:ascii="Liberation Serif" w:hAnsi="Liberation Serif"/>
                <w:u w:val="single"/>
                <w:lang w:eastAsia="en-US"/>
              </w:rPr>
              <w:t xml:space="preserve">.11.2024 № </w:t>
            </w:r>
            <w:r>
              <w:rPr>
                <w:rFonts w:ascii="Liberation Serif" w:hAnsi="Liberation Serif"/>
                <w:u w:val="single"/>
                <w:lang w:eastAsia="en-US"/>
              </w:rPr>
              <w:t>161</w:t>
            </w:r>
            <w:r>
              <w:rPr>
                <w:rFonts w:ascii="Liberation Serif" w:hAnsi="Liberation Serif"/>
                <w:u w:val="single"/>
                <w:lang w:eastAsia="en-US"/>
              </w:rPr>
              <w:t>-НПА</w:t>
            </w:r>
            <w:r>
              <w:rPr>
                <w:rFonts w:ascii="Liberation Serif" w:hAnsi="Liberation Serif"/>
                <w:lang w:eastAsia="en-US"/>
              </w:rPr>
              <w:t xml:space="preserve">                                     </w:t>
            </w:r>
            <w:r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     </w:t>
            </w:r>
            <w:r>
              <w:rPr>
                <w:rFonts w:ascii="Liberation Serif" w:hAnsi="Liberation Serif"/>
                <w:u w:val="single"/>
                <w:lang w:eastAsia="en-US"/>
              </w:rPr>
              <w:t>с. Сладковское</w:t>
            </w:r>
          </w:p>
        </w:tc>
      </w:tr>
    </w:tbl>
    <w:p>
      <w:pPr>
        <w:tabs>
          <w:tab w:val="left" w:pos="1005"/>
        </w:tabs>
        <w:rPr>
          <w:rFonts w:ascii="Liberation Serif" w:hAnsi="Liberation Serif"/>
          <w:b/>
          <w:bCs/>
          <w:i/>
        </w:rPr>
      </w:pPr>
    </w:p>
    <w:p>
      <w:pPr>
        <w:suppressAutoHyphens/>
        <w:ind w:right="-2"/>
        <w:jc w:val="center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  <w:r>
        <w:rPr>
          <w:rFonts w:hint="default" w:ascii="Liberation Serif" w:hAnsi="Liberation Serif" w:cs="Liberation Serif"/>
          <w:b/>
          <w:sz w:val="24"/>
          <w:szCs w:val="24"/>
          <w:lang w:eastAsia="zh-CN"/>
        </w:rPr>
        <w:t xml:space="preserve">Об установлении и введении в действие земельного налога на территории </w:t>
      </w:r>
    </w:p>
    <w:p>
      <w:pPr>
        <w:suppressAutoHyphens/>
        <w:ind w:right="-2"/>
        <w:jc w:val="center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  <w:r>
        <w:rPr>
          <w:rFonts w:hint="default" w:ascii="Liberation Serif" w:hAnsi="Liberation Serif" w:cs="Liberation Serif"/>
          <w:b/>
          <w:sz w:val="24"/>
          <w:szCs w:val="24"/>
          <w:lang w:eastAsia="zh-CN"/>
        </w:rPr>
        <w:t>Сладковского сельского поселения Слободо-Туринского муниципального района Свердловской области на 2025 год</w:t>
      </w:r>
    </w:p>
    <w:p>
      <w:pPr>
        <w:suppressAutoHyphens/>
        <w:ind w:left="709" w:right="424"/>
        <w:jc w:val="center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Руководствуясь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"https://internet.garant.ru/" \l "/document/10900200/entry/31"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sz w:val="24"/>
          <w:szCs w:val="24"/>
        </w:rPr>
        <w:t>главой 31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Налогового кодекса РФ,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"https://internet.garant.ru/" \l "/document/186367/entry/0"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sz w:val="24"/>
          <w:szCs w:val="24"/>
        </w:rPr>
        <w:t>Федеральным законом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от 6 октября 2003 N 131-ФЗ "Об общих принципах организации местного самоуправления в Российской Федерации",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"https://internet.garant.ru/" \l "/document/72221338/entry/0"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sz w:val="24"/>
          <w:szCs w:val="24"/>
        </w:rPr>
        <w:t>Федеральным законом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от 12.07.2024 № 176-ФЗ "О внесении изменений в части первую и вторую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подпунктом 3 пункта 2 статьи 22 Устава Сладковского сельского поселения, Дума Сладковского сельского поселения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  <w:r>
        <w:rPr>
          <w:rFonts w:hint="default" w:ascii="Liberation Serif" w:hAnsi="Liberation Serif" w:cs="Liberation Serif"/>
          <w:b/>
          <w:sz w:val="24"/>
          <w:szCs w:val="24"/>
          <w:lang w:eastAsia="zh-CN"/>
        </w:rPr>
        <w:t>РЕШИЛА:</w:t>
      </w:r>
    </w:p>
    <w:p>
      <w:pPr>
        <w:numPr>
          <w:ilvl w:val="0"/>
          <w:numId w:val="0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 1. Установить и ввести в действие c 01 января 2025 года на территории Сладковского сельского поселения Слободо-Туринского муниципального района Свердловской области (далее - Сладковское сельское поселение) земельный налог, ставки налога, порядок уплаты налога, авансовых платежей по налогу, налоговые льготы.</w:t>
      </w:r>
    </w:p>
    <w:p>
      <w:pPr>
        <w:numPr>
          <w:ilvl w:val="0"/>
          <w:numId w:val="0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 2. Объектом налогообложения признаются земельные участки, расположенные в пределах территории Сладковского сельского поселения.</w:t>
      </w:r>
    </w:p>
    <w:p>
      <w:pPr>
        <w:numPr>
          <w:ilvl w:val="0"/>
          <w:numId w:val="0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 3. Установить налоговые ставки земельного налога в процентном отношении к кадастровой стоимости земельных участков в следующих размерах: </w:t>
      </w:r>
    </w:p>
    <w:p>
      <w:pPr>
        <w:numPr>
          <w:ilvl w:val="0"/>
          <w:numId w:val="0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rFonts w:hint="default" w:ascii="Liberation Serif" w:hAnsi="Liberation Serif" w:cs="Liberation Serif"/>
          <w:b w:val="0"/>
          <w:bCs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</w:t>
      </w:r>
      <w:r>
        <w:rPr>
          <w:rFonts w:hint="default" w:ascii="Liberation Serif" w:hAnsi="Liberation Serif" w:cs="Liberation Serif"/>
          <w:i/>
          <w:iCs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b w:val="0"/>
          <w:bCs/>
          <w:i/>
          <w:iCs/>
          <w:sz w:val="24"/>
          <w:szCs w:val="24"/>
        </w:rPr>
        <w:t>0,3 процента в отношении земельных участков</w:t>
      </w:r>
      <w:r>
        <w:rPr>
          <w:rFonts w:hint="default" w:ascii="Liberation Serif" w:hAnsi="Liberation Serif" w:cs="Liberation Serif"/>
          <w:b w:val="0"/>
          <w:bCs/>
          <w:sz w:val="24"/>
          <w:szCs w:val="24"/>
        </w:rPr>
        <w:t>:</w:t>
      </w:r>
    </w:p>
    <w:p>
      <w:pPr>
        <w:tabs>
          <w:tab w:val="left" w:pos="993"/>
        </w:tabs>
        <w:jc w:val="both"/>
        <w:rPr>
          <w:rFonts w:hint="default" w:ascii="Liberation Serif" w:hAnsi="Liberation Serif" w:cs="Liberation Serif"/>
          <w:i w:val="0"/>
          <w:iCs w:val="0"/>
          <w:sz w:val="24"/>
          <w:szCs w:val="24"/>
        </w:rPr>
      </w:pPr>
      <w:r>
        <w:rPr>
          <w:rFonts w:hint="default" w:ascii="Liberation Serif" w:hAnsi="Liberation Serif" w:cs="Liberation Serif"/>
          <w:i/>
          <w:iCs/>
          <w:sz w:val="24"/>
          <w:szCs w:val="24"/>
        </w:rPr>
        <w:t xml:space="preserve">      - 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>отнесенных к землям сельскохозяйственного назначения или к землям в составе зон</w:t>
      </w:r>
      <w:r>
        <w:rPr>
          <w:rFonts w:hint="default" w:ascii="Liberation Serif" w:hAnsi="Liberation Serif" w:cs="Liberation Serif"/>
          <w:i/>
          <w:iCs/>
          <w:sz w:val="24"/>
          <w:szCs w:val="24"/>
        </w:rPr>
        <w:t xml:space="preserve"> с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ельскохозяйственного использования в населенных пунктах и используемых для сельскохозяйственного производства; </w:t>
      </w:r>
    </w:p>
    <w:p>
      <w:pPr>
        <w:pStyle w:val="2"/>
        <w:tabs>
          <w:tab w:val="left" w:pos="851"/>
          <w:tab w:val="left" w:pos="1134"/>
        </w:tabs>
        <w:spacing w:before="0" w:beforeAutospacing="0" w:after="0" w:afterAutospacing="0" w:line="288" w:lineRule="atLeast"/>
        <w:jc w:val="both"/>
        <w:rPr>
          <w:rFonts w:hint="default" w:ascii="Liberation Serif" w:hAnsi="Liberation Serif" w:cs="Liberation Serif"/>
          <w:i w:val="0"/>
          <w:iCs w:val="0"/>
          <w:sz w:val="24"/>
          <w:szCs w:val="24"/>
        </w:rPr>
      </w:pP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     -  занятых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"https://login.consultant.ru/link/?req=doc&amp;base=LAW&amp;n=466787&amp;dst=100149&amp;field=134&amp;date=08.10.2024"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жилищным фондом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"https://login.consultant.ru/link/?req=doc&amp;base=LAW&amp;n=466786&amp;dst=100005&amp;field=134&amp;date=08.10.2024"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части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>
      <w:pPr>
        <w:pStyle w:val="2"/>
        <w:tabs>
          <w:tab w:val="left" w:pos="709"/>
          <w:tab w:val="left" w:pos="851"/>
        </w:tabs>
        <w:spacing w:before="0" w:beforeAutospacing="0" w:after="0" w:afterAutospacing="0" w:line="288" w:lineRule="atLeast"/>
        <w:ind w:firstLine="540"/>
        <w:jc w:val="both"/>
        <w:rPr>
          <w:rFonts w:hint="default" w:ascii="Liberation Serif" w:hAnsi="Liberation Serif" w:cs="Liberation Serif"/>
          <w:i w:val="0"/>
          <w:iCs w:val="0"/>
          <w:sz w:val="24"/>
          <w:szCs w:val="24"/>
        </w:rPr>
      </w:pP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"https://login.consultant.ru/link/?req=doc&amp;base=LAW&amp;n=454116&amp;dst=100022&amp;field=134&amp;date=08.10.2024"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личного подсобного хозяйства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>,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садоводства или огородничества, а также земельных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"https://login.consultant.ru/link/?req=doc&amp;base=LAW&amp;n=412647&amp;dst=100011&amp;field=134&amp;date=08.10.2024"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участков общего назначения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, предусмотренных Федеральным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"https://login.consultant.ru/link/?req=doc&amp;base=LAW&amp;n=481366&amp;date=08.10.2024"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законом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>
      <w:pPr>
        <w:tabs>
          <w:tab w:val="left" w:pos="567"/>
        </w:tabs>
        <w:jc w:val="both"/>
        <w:rPr>
          <w:rFonts w:hint="default" w:ascii="Liberation Serif" w:hAnsi="Liberation Serif" w:cs="Liberation Serif"/>
          <w:b w:val="0"/>
          <w:bCs w:val="0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-</w:t>
      </w:r>
      <w:r>
        <w:rPr>
          <w:rFonts w:hint="default"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"https://login.consultant.ru/link/?req=doc&amp;base=LAW&amp;n=445436&amp;dst=100019&amp;field=134&amp;date=17.10.2023"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color w:val="auto"/>
          <w:sz w:val="24"/>
          <w:szCs w:val="24"/>
          <w:u w:val="none"/>
        </w:rPr>
        <w:t>ограниченных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в обороте в соответствии с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"https://login.consultant.ru/link/?req=doc&amp;base=LAW&amp;n=452764&amp;dst=100225&amp;field=134&amp;date=17.10.2023"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color w:val="auto"/>
          <w:sz w:val="24"/>
          <w:szCs w:val="24"/>
          <w:u w:val="none"/>
        </w:rPr>
        <w:t>законодательством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Российской Федерации, предоставленных для обеспечения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"https://login.consultant.ru/link/?req=doc&amp;base=LAW&amp;n=459571&amp;dst=100019&amp;field=134&amp;date=17.10.2023"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color w:val="auto"/>
          <w:sz w:val="24"/>
          <w:szCs w:val="24"/>
          <w:u w:val="none"/>
        </w:rPr>
        <w:t>обороны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>, безопасности и таможенных нужд.</w:t>
      </w:r>
    </w:p>
    <w:p>
      <w:pPr>
        <w:tabs>
          <w:tab w:val="left" w:pos="709"/>
          <w:tab w:val="left" w:pos="851"/>
          <w:tab w:val="left" w:pos="1134"/>
          <w:tab w:val="left" w:pos="1276"/>
        </w:tabs>
        <w:suppressAutoHyphens/>
        <w:ind w:firstLine="48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b w:val="0"/>
          <w:bCs w:val="0"/>
          <w:i/>
          <w:iCs/>
          <w:sz w:val="24"/>
          <w:szCs w:val="24"/>
        </w:rPr>
        <w:t>2) 1,5 процента</w:t>
      </w:r>
      <w:r>
        <w:rPr>
          <w:rFonts w:hint="default" w:ascii="Liberation Serif" w:hAnsi="Liberation Serif" w:cs="Liberation Serif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- в отношении прочих земельных участков.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  <w:tab w:val="left" w:pos="709"/>
          <w:tab w:val="left" w:pos="851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erif" w:hAnsi="Liberation Serif" w:eastAsia="Calibri" w:cs="Liberation Serif"/>
          <w:b w:val="0"/>
          <w:bCs w:val="0"/>
          <w:sz w:val="24"/>
          <w:szCs w:val="24"/>
          <w:lang w:eastAsia="en-US"/>
        </w:rPr>
      </w:pPr>
      <w:r>
        <w:rPr>
          <w:rFonts w:hint="default" w:ascii="Liberation Serif" w:hAnsi="Liberation Serif" w:eastAsia="Calibri" w:cs="Liberation Serif"/>
          <w:i/>
          <w:iCs/>
          <w:sz w:val="24"/>
          <w:szCs w:val="24"/>
          <w:lang w:eastAsia="en-US"/>
        </w:rPr>
        <w:t xml:space="preserve">  </w:t>
      </w:r>
      <w:r>
        <w:rPr>
          <w:rFonts w:hint="default" w:ascii="Liberation Serif" w:hAnsi="Liberation Serif" w:eastAsia="Calibri" w:cs="Liberation Serif"/>
          <w:b w:val="0"/>
          <w:bCs w:val="0"/>
          <w:i/>
          <w:iCs/>
          <w:sz w:val="24"/>
          <w:szCs w:val="24"/>
          <w:lang w:eastAsia="en-US"/>
        </w:rPr>
        <w:t xml:space="preserve">  4. Установить следующий порядок и сроки уплаты земельного налога налогоплательщиками – организациями и физическими лицами:</w:t>
      </w:r>
      <w:r>
        <w:rPr>
          <w:rFonts w:hint="default" w:ascii="Liberation Serif" w:hAnsi="Liberation Serif" w:eastAsia="Calibri" w:cs="Liberation Serif"/>
          <w:b w:val="0"/>
          <w:bCs w:val="0"/>
          <w:sz w:val="24"/>
          <w:szCs w:val="24"/>
          <w:lang w:eastAsia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09"/>
          <w:tab w:val="left" w:pos="851"/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472"/>
        <w:jc w:val="both"/>
        <w:textAlignment w:val="auto"/>
        <w:outlineLvl w:val="9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  <w:t>1) налоговым периодом признается календарный год;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outlineLvl w:val="9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   2) налог подлежит уплате </w:t>
      </w:r>
      <w:r>
        <w:rPr>
          <w:rFonts w:hint="default" w:ascii="Liberation Serif" w:hAnsi="Liberation Serif" w:cs="Liberation Serif"/>
          <w:i/>
          <w:iCs/>
          <w:sz w:val="24"/>
          <w:szCs w:val="24"/>
          <w:highlight w:val="white"/>
          <w:shd w:val="clear" w:color="auto" w:fill="F3F1E9"/>
        </w:rPr>
        <w:t>налогоплательщиками - физическими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</w:t>
      </w:r>
      <w:r>
        <w:rPr>
          <w:rFonts w:hint="default" w:ascii="Liberation Serif" w:hAnsi="Liberation Serif" w:cs="Liberation Serif"/>
          <w:i/>
          <w:iCs/>
          <w:sz w:val="24"/>
          <w:szCs w:val="24"/>
          <w:highlight w:val="white"/>
          <w:shd w:val="clear" w:color="auto" w:fill="F3F1E9"/>
        </w:rPr>
        <w:t>лицами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в срок не позднее 1 декабря года, следующего за истекшим налоговым периодом;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480"/>
        <w:jc w:val="both"/>
        <w:textAlignment w:val="auto"/>
        <w:outlineLvl w:val="9"/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</w:pP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3) налог подлежит уплате </w:t>
      </w:r>
      <w:r>
        <w:rPr>
          <w:rFonts w:hint="default" w:ascii="Liberation Serif" w:hAnsi="Liberation Serif" w:cs="Liberation Serif"/>
          <w:i/>
          <w:iCs/>
          <w:sz w:val="24"/>
          <w:szCs w:val="24"/>
          <w:highlight w:val="white"/>
          <w:shd w:val="clear" w:color="auto" w:fill="F3F1E9"/>
        </w:rPr>
        <w:t>налогоплательщиками-организациями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в срок не позднее </w:t>
      </w:r>
      <w:r>
        <w:rPr>
          <w:rStyle w:val="4"/>
          <w:rFonts w:hint="default" w:ascii="Liberation Serif" w:hAnsi="Liberation Serif" w:cs="Liberation Serif"/>
          <w:i w:val="0"/>
          <w:iCs w:val="0"/>
          <w:sz w:val="24"/>
          <w:szCs w:val="24"/>
          <w:highlight w:val="white"/>
          <w:shd w:val="clear" w:color="auto" w:fill="ABE0FF"/>
        </w:rPr>
        <w:t>28 февраля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 года, следующего за истекшим налоговым периодом.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480"/>
        <w:jc w:val="both"/>
        <w:textAlignment w:val="auto"/>
        <w:outlineLvl w:val="9"/>
        <w:rPr>
          <w:rFonts w:hint="default" w:ascii="Liberation Serif" w:hAnsi="Liberation Serif" w:cs="Liberation Serif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>О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highlight w:val="none"/>
          <w:lang w:val="en-US" w:eastAsia="zh-CN" w:bidi="ar"/>
        </w:rPr>
        <w:t>тчетными периодами признаются первый квартал, второй квартал и третий квартал календарного года.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   Авансовые платежи по налогу подлежат уплате налогоплательщиками-организациями в срок не позднее </w:t>
      </w:r>
      <w:r>
        <w:rPr>
          <w:rStyle w:val="4"/>
          <w:rFonts w:hint="default" w:ascii="Liberation Serif" w:hAnsi="Liberation Serif" w:cs="Liberation Serif"/>
          <w:i w:val="0"/>
          <w:iCs w:val="0"/>
          <w:sz w:val="24"/>
          <w:szCs w:val="24"/>
          <w:highlight w:val="white"/>
          <w:shd w:val="clear" w:color="auto" w:fill="ABE0FF"/>
        </w:rPr>
        <w:t>28-го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> числа месяца, следующего за истекшим </w:t>
      </w:r>
      <w:r>
        <w:rPr>
          <w:rFonts w:hint="default" w:ascii="Liberation Serif" w:hAnsi="Liberation Serif" w:cs="Liberation Serif"/>
          <w:sz w:val="24"/>
          <w:szCs w:val="24"/>
          <w:highlight w:val="white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  <w:highlight w:val="white"/>
        </w:rPr>
        <w:instrText xml:space="preserve"> HYPERLINK "https://internet.garant.ru/" \l "/document/77304575/entry/39302" </w:instrText>
      </w:r>
      <w:r>
        <w:rPr>
          <w:rFonts w:hint="default" w:ascii="Liberation Serif" w:hAnsi="Liberation Serif" w:cs="Liberation Serif"/>
          <w:sz w:val="24"/>
          <w:szCs w:val="24"/>
          <w:highlight w:val="white"/>
        </w:rPr>
        <w:fldChar w:fldCharType="separate"/>
      </w:r>
      <w:r>
        <w:rPr>
          <w:rStyle w:val="5"/>
          <w:rFonts w:hint="default" w:ascii="Liberation Serif" w:hAnsi="Liberation Serif" w:cs="Liberation Serif"/>
          <w:color w:val="auto"/>
          <w:sz w:val="24"/>
          <w:szCs w:val="24"/>
          <w:highlight w:val="white"/>
          <w:u w:val="none"/>
          <w:shd w:val="clear" w:color="auto" w:fill="F3F1E9"/>
        </w:rPr>
        <w:t>отчетным</w:t>
      </w:r>
      <w:r>
        <w:rPr>
          <w:rFonts w:hint="default" w:ascii="Liberation Serif" w:hAnsi="Liberation Serif" w:cs="Liberation Serif"/>
          <w:sz w:val="24"/>
          <w:szCs w:val="24"/>
          <w:highlight w:val="white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> периодом</w:t>
      </w:r>
      <w:r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  <w:t>.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</w:t>
      </w:r>
      <w:r>
        <w:rPr>
          <w:rFonts w:hint="default" w:ascii="Liberation Serif" w:hAnsi="Liberation Serif" w:cs="Liberation Serif"/>
          <w:b w:val="0"/>
          <w:bCs w:val="0"/>
          <w:i/>
          <w:iCs/>
          <w:sz w:val="24"/>
          <w:szCs w:val="24"/>
        </w:rPr>
        <w:t xml:space="preserve"> 5. Установить налоговые льготы по земельному налогу в размере 50 процентов от подлежащей уплате исчисленной суммы земельного налога для следующих категорий налогоплательщиков:      </w:t>
      </w:r>
      <w:r>
        <w:rPr>
          <w:rFonts w:hint="default" w:ascii="Liberation Serif" w:hAnsi="Liberation Serif" w:cs="Liberation Serif"/>
          <w:sz w:val="24"/>
          <w:szCs w:val="24"/>
        </w:rPr>
        <w:t xml:space="preserve">  </w:t>
      </w:r>
    </w:p>
    <w:p>
      <w:pPr>
        <w:shd w:val="clear" w:color="auto" w:fill="FFFFFF"/>
        <w:tabs>
          <w:tab w:val="left" w:pos="0"/>
          <w:tab w:val="left" w:pos="284"/>
          <w:tab w:val="left" w:pos="851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1) инвалидов I, II и III групп инвалидности;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2) инвалидов с детства;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3) лиц, имеющих трех и более несовершеннолетних детей;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4) граждан, получающих пенсии, назначаемые в порядке, установленном пенсионным законодательством Российской Федерации;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5) граждан, имеющих звание "Ветеран труда" в соответствии с Законом Свердловской области от 23.12.2010 N 104-ОЗ "О ветеранах труда Свердловской области";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6) членов добровольных пожарных дружин в сельских населенных пунктах;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7) членов добровольных народных дружин по охране общественного порядка в сельских населенных пунктах;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8) старост населенных пунктов Сладковского сельского поселения;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9) мужчин при достижении 60 лет и женщин при достижении 55 лет, а также граждан, у которых в соответствии с Федеральным законом "О страховых пенсиях" возникло право на страховую пенсию по старости, срок назначения которой или возраст для назначения которой не наступил.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="Liberation Serif" w:hAnsi="Liberation Serif" w:cs="Liberation Serif"/>
          <w:b w:val="0"/>
          <w:bCs w:val="0"/>
          <w:sz w:val="24"/>
          <w:szCs w:val="24"/>
        </w:rPr>
        <w:t xml:space="preserve"> 6. </w:t>
      </w:r>
      <w:r>
        <w:rPr>
          <w:rFonts w:hint="default" w:ascii="Liberation Serif" w:hAnsi="Liberation Serif" w:cs="Liberation Serif"/>
          <w:b w:val="0"/>
          <w:bCs w:val="0"/>
          <w:i/>
          <w:iCs/>
          <w:sz w:val="24"/>
          <w:szCs w:val="24"/>
        </w:rPr>
        <w:t>Освобождаются от налогообложения: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1) органы местного самоуправления Сладковского сельского поселения;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2) учреждения культуры;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3) дети-сироты, унаследовавшие имущество от родителей;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4) Герои Советского Союза, Герои Российской Федерации, полные кавалеры ордена Славы;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5) категории ветеранов, предусмотренные Федеральным законом от 12.01.1995 года 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N 5-ФЗ "О ветеранах"</w:t>
      </w:r>
    </w:p>
    <w:p>
      <w:pPr>
        <w:numPr>
          <w:ilvl w:val="0"/>
          <w:numId w:val="0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6) сельскохозяйственные предприятия и организации, крестьянские и фермерские хозяйства, занимающиеся сельскохозяйственной деятельностью, при условии, что производство сельскохозяйственной продукции составляет не менее 70 процентов от общего производства.</w:t>
      </w:r>
    </w:p>
    <w:p>
      <w:pPr>
        <w:numPr>
          <w:ilvl w:val="0"/>
          <w:numId w:val="0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i w:val="0"/>
          <w:iCs w:val="0"/>
          <w:sz w:val="24"/>
          <w:szCs w:val="24"/>
        </w:rPr>
      </w:pPr>
      <w:r>
        <w:rPr>
          <w:rFonts w:hint="default" w:ascii="Liberation Serif" w:hAnsi="Liberation Serif" w:cs="Liberation Serif"/>
          <w:color w:val="000000"/>
          <w:sz w:val="24"/>
          <w:szCs w:val="24"/>
        </w:rPr>
        <w:t xml:space="preserve">     </w:t>
      </w:r>
      <w:r>
        <w:rPr>
          <w:rFonts w:hint="default" w:ascii="Liberation Serif" w:hAnsi="Liberation Serif" w:cs="Liberation Serif"/>
          <w:i w:val="0"/>
          <w:iCs w:val="0"/>
          <w:color w:val="000000"/>
          <w:sz w:val="24"/>
          <w:szCs w:val="24"/>
        </w:rPr>
        <w:t xml:space="preserve">7)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лица, призванные на военную службу по мобилизации или проходящие военную службу по контракту, заключенному в соответствии с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"consultantplus://offline/ref=8F39EE8DBB9E04781FFCBFF9D4281DA4C281E09FED09BF96728395FE40046252F70FA6494D83F3C2AB825D01DBCCE1808C9D5BFFE7hCl0L"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>пунктом 7 статьи 38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Федерального закона от 28 марта 1998 года № 53-ФЗ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Федерации, а также супруга (супруг), родители (усыновители) и дети (при наличии справки (подтверждения), выданной (выданного) Военным комиссариатом о призвании гражданина на военную службу по мобилизации, или справки, выданной медицинской организацией, о нахождении мобилизованного гражданина в больнице, госпитале, другой медицинской организации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операции), начиная с налогового периода 2022 года.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7. 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8. Опубликовать настоящее Решение в печатном средстве массовой информации Думы и Администрации Сладковского сельского поселения "Информационный вестник", а также разместить на официальном сайте Сладковского сельского поселения в информационно-телекоммуникационной сети Интернет.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9. Настоящее Решение вступает в силу после его официального опубликования и распространяет свое действие на отношения, возникшие с 01 января 2025 года.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  <w:bookmarkStart w:id="0" w:name="_GoBack"/>
      <w:bookmarkEnd w:id="0"/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Председатель Думы                                  Глава Сладковского                    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Сладковского сельского поселения                     сельского поселения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  <w:lang w:val="en-US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_________________   В.А.Потапова                 _______________Л.П.Фефелова</w:t>
      </w:r>
    </w:p>
    <w:tbl>
      <w:tblPr>
        <w:tblStyle w:val="7"/>
        <w:tblW w:w="9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9390"/>
      </w:tblGrid>
      <w:tr>
        <w:tc>
          <w:tcPr>
            <w:tcW w:w="383" w:type="dxa"/>
            <w:vAlign w:val="top"/>
          </w:tcPr>
          <w:p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</w:p>
        </w:tc>
        <w:tc>
          <w:tcPr>
            <w:tcW w:w="9390" w:type="dxa"/>
            <w:vAlign w:val="top"/>
          </w:tcPr>
          <w:p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r>
        <w:t xml:space="preserve">                               </w:t>
      </w:r>
    </w:p>
    <w:p>
      <w:pPr/>
    </w:p>
    <w:p>
      <w:pPr/>
    </w:p>
    <w:p>
      <w:pPr/>
    </w:p>
    <w:p>
      <w:pPr/>
    </w:p>
    <w:sectPr>
      <w:pgSz w:w="11906" w:h="16838"/>
      <w:pgMar w:top="1200" w:right="986" w:bottom="998" w:left="13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swiss"/>
    <w:pitch w:val="default"/>
    <w:sig w:usb0="A00002AF" w:usb1="500078FB" w:usb2="00000000" w:usb3="00000000" w:csb0="6000009F" w:csb1="DFD7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Lucida Sans">
    <w:altName w:val="Noto Sans"/>
    <w:panose1 w:val="020B0602030504020204"/>
    <w:charset w:val="00"/>
    <w:family w:val="decorative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decorative"/>
    <w:pitch w:val="default"/>
    <w:sig w:usb0="A00002AF" w:usb1="500078FB" w:usb2="00000000" w:usb3="00000000" w:csb0="6000009F" w:csb1="DFD70000"/>
  </w:font>
  <w:font w:name="Microsoft YaHei">
    <w:altName w:val="WenQuanYi Micro Hei"/>
    <w:panose1 w:val="020B0503020204020204"/>
    <w:charset w:val="00"/>
    <w:family w:val="decorative"/>
    <w:pitch w:val="default"/>
    <w:sig w:usb0="00000000" w:usb1="00000000" w:usb2="00000016" w:usb3="00000000" w:csb0="0004001F" w:csb1="00000000"/>
  </w:font>
  <w:font w:name="Tahoma">
    <w:altName w:val="Verdana"/>
    <w:panose1 w:val="020B0604030504040204"/>
    <w:charset w:val="00"/>
    <w:family w:val="decorative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Calibri Light">
    <w:altName w:val="Arial"/>
    <w:panose1 w:val="020F0302020204030204"/>
    <w:charset w:val="CC"/>
    <w:family w:val="decorative"/>
    <w:pitch w:val="default"/>
    <w:sig w:usb0="00000000" w:usb1="00000000" w:usb2="00000000" w:usb3="00000000" w:csb0="0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Symbol">
    <w:altName w:val="Abyssinica SIL"/>
    <w:panose1 w:val="05050102010706020507"/>
    <w:charset w:val="00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FB8CAD"/>
    <w:rsid w:val="2FFF3C14"/>
    <w:rsid w:val="3AAB5641"/>
    <w:rsid w:val="3EF4D765"/>
    <w:rsid w:val="55A625FE"/>
    <w:rsid w:val="5F7192A2"/>
    <w:rsid w:val="71FE303B"/>
    <w:rsid w:val="73FDF87C"/>
    <w:rsid w:val="79E7698B"/>
    <w:rsid w:val="7EFDC338"/>
    <w:rsid w:val="8B379C08"/>
    <w:rsid w:val="B1F3D18D"/>
    <w:rsid w:val="BF2E4542"/>
    <w:rsid w:val="E4FB8CAD"/>
    <w:rsid w:val="EFFF731C"/>
    <w:rsid w:val="FBF7CBEC"/>
    <w:rsid w:val="FFFFF7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2023-11-30T05:51:00Z</dcterms:created>
  <dc:creator>yurist</dc:creator>
  <cp:lastModifiedBy>yurist</cp:lastModifiedBy>
  <cp:lastPrinted>2024-11-25T15:00:00Z</cp:lastPrinted>
  <dcterms:modified xsi:type="dcterms:W3CDTF">2024-12-02T12:21:28Z</dcterms:modified>
  <dc:title>ПРОЕКТ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